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	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0.0 -->
  <w:body>
    <w:p>
      <w:pPr>
        <w:pStyle w:val="Zyan-Feld"/>
      </w:pPr>
      <w:r>
        <w:t>Nicht löschen bitte "</w:t>
      </w:r>
      <w:r>
        <w:rPr>
          <w:rStyle w:val="FootnoteReference"/>
          <w:noProof w:val="0"/>
          <w:position w:val="0"/>
          <w:sz w:val="18"/>
        </w:rPr>
        <w:footnoteReference w:customMarkFollows="1" w:id="2"/>
        <w:t xml:space="preserve"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</w:pPr>
      <w:r>
        <w:t xml:space="preserve">Verordnung des EDI </w:t>
      </w:r>
      <w:r>
        <w:br/>
        <w:t>über die Verzeichnisse der Betäubungsmittel, psychotropen Stoffe, Vorläuferstoffe und Hilfschemikalien</w:t>
      </w:r>
    </w:p>
    <w:p>
      <w:pPr>
        <w:pStyle w:val="ErlassKurztitel"/>
      </w:pPr>
      <w:r>
        <w:t>(</w:t>
      </w:r>
      <w:bookmarkStart w:id="0" w:name="_Hlk146544641"/>
      <w:r>
        <w:t>Betäubungsmittelverzeichnisverordnung</w:t>
      </w:r>
      <w:bookmarkEnd w:id="0"/>
      <w:r>
        <w:t>, BetmVV-EDI)</w:t>
      </w:r>
    </w:p>
    <w:p>
      <w:pPr>
        <w:pStyle w:val="Abstand18pt"/>
      </w:pPr>
    </w:p>
    <w:p>
      <w:pPr>
        <w:pStyle w:val="ErlassDatumAend"/>
      </w:pPr>
      <w:r>
        <w:t>Änderung vom 8. September 2023</w:t>
      </w:r>
    </w:p>
    <w:p>
      <w:pPr>
        <w:pStyle w:val="ErlassLinie"/>
      </w:pPr>
    </w:p>
    <w:p>
      <w:pPr>
        <w:pStyle w:val="Autor"/>
      </w:pPr>
      <w:r>
        <w:t>Das Eidgenössische Departement des Innern (EDI)</w:t>
      </w:r>
    </w:p>
    <w:p>
      <w:pPr>
        <w:pStyle w:val="Verb"/>
      </w:pPr>
      <w:r>
        <w:t>verordnet:</w:t>
      </w:r>
    </w:p>
    <w:p>
      <w:pPr>
        <w:pStyle w:val="ZifferrmI"/>
      </w:pPr>
      <w:r>
        <w:t>I</w:t>
      </w:r>
    </w:p>
    <w:p>
      <w:pPr>
        <w:pStyle w:val="Absatz"/>
      </w:pPr>
      <w:r>
        <w:t>Anhang 6 der Betäubungsmittelverzeichnisverordnung vom 30. Mai 2011</w:t>
      </w:r>
      <w:r>
        <w:rPr>
          <w:rStyle w:val="FootnoteReference"/>
          <w:noProof w:val="0"/>
        </w:rPr>
        <w:footnoteReference w:id="3"/>
      </w:r>
      <w:r>
        <w:t xml:space="preserve"> wird gemäss Beilage geändert.</w:t>
      </w:r>
    </w:p>
    <w:p>
      <w:pPr>
        <w:pStyle w:val="ZifferrmII"/>
      </w:pPr>
      <w:r>
        <w:t>II</w:t>
      </w:r>
    </w:p>
    <w:p>
      <w:pPr>
        <w:pStyle w:val="Absatz"/>
      </w:pPr>
      <w:r>
        <w:t>Diese Verordnung tritt am 9. Oktober 2023 um 10 Uhr in Kraft.</w:t>
      </w:r>
      <w:r>
        <w:rPr>
          <w:rStyle w:val="FootnoteReference"/>
          <w:noProof w:val="0"/>
        </w:rPr>
        <w:footnoteReference w:id="4"/>
      </w:r>
    </w:p>
    <w:tbl>
      <w:tblPr>
        <w:tblW w:w="612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1"/>
        <w:gridCol w:w="3013"/>
      </w:tblGrid>
      <w:tr>
        <w:tblPrEx>
          <w:tblW w:w="6124" w:type="dxa"/>
          <w:tblInd w:w="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111" w:type="dxa"/>
          </w:tcPr>
          <w:p>
            <w:pPr>
              <w:pStyle w:val="UnterschriftenFI1"/>
            </w:pPr>
            <w:r>
              <w:t>8. September 2023</w:t>
            </w:r>
          </w:p>
        </w:tc>
        <w:tc>
          <w:tcPr>
            <w:tcW w:w="3013" w:type="dxa"/>
          </w:tcPr>
          <w:p>
            <w:pPr>
              <w:pStyle w:val="UnterschriftenFI1"/>
            </w:pPr>
            <w:r>
              <w:t>Eidgenössisches Departement des Innern:</w:t>
            </w:r>
          </w:p>
          <w:p>
            <w:pPr>
              <w:pStyle w:val="UnterschriftenFI"/>
            </w:pPr>
            <w:r>
              <w:t>Alain Berset</w:t>
            </w:r>
          </w:p>
        </w:tc>
      </w:tr>
    </w:tbl>
    <w:p>
      <w:pPr>
        <w:pStyle w:val="Abstand4pt"/>
      </w:pPr>
    </w:p>
    <w:p>
      <w:pPr>
        <w:pStyle w:val="TitelAnhrechts"/>
      </w:pPr>
      <w:r>
        <w:t>Anhang 6</w:t>
      </w:r>
    </w:p>
    <w:p>
      <w:pPr>
        <w:pStyle w:val="TitelAnhText"/>
      </w:pPr>
      <w:r>
        <w:t>(Art. 2 Abs. 2)</w:t>
      </w:r>
    </w:p>
    <w:p>
      <w:pPr>
        <w:pStyle w:val="TitelAnhang"/>
      </w:pPr>
      <w:r>
        <w:t>Verzeichnis e:</w:t>
      </w:r>
      <w:r>
        <w:br/>
        <w:t>Rohmaterialien und Erzeugnisse mit vermuteter betäubungsmittelähnlicher Wirkung</w:t>
      </w:r>
    </w:p>
    <w:p>
      <w:pPr>
        <w:pStyle w:val="VerweisArtkursiv"/>
      </w:pPr>
      <w:r>
        <w:t>Ziff. 303–313</w:t>
      </w:r>
    </w:p>
    <w:p>
      <w:pPr>
        <w:pStyle w:val="Abstand4pt"/>
      </w:pPr>
    </w:p>
    <w:p>
      <w:pPr>
        <w:pStyle w:val="Abstand4p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5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ellenkopfN"/>
            </w:pPr>
            <w:r>
              <w:t>Nummer</w:t>
            </w:r>
          </w:p>
        </w:tc>
        <w:tc>
          <w:tcPr>
            <w:tcW w:w="5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ellenkopfN"/>
            </w:pPr>
            <w:r>
              <w:t>Bezeichnung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303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Synthetische Cannabinoide 2</w:t>
            </w:r>
          </w:p>
          <w:p>
            <w:pPr>
              <w:pStyle w:val="Tabkrper29pt"/>
            </w:pPr>
            <w:r>
              <w:t>Jede Substanz (ausgenommen kontrollierte Substanzen der Verzeichnisse a, b, d und f), deren Struktur abgeleitet wird von 6H-Benzo(c)chromen-1-ol (6H-Dibenzo(b,d)pyran-1-ol), unabhängig vom Hydrierungsgrad des nicht phenolischen Benzorings, durch Substitution:</w:t>
            </w:r>
          </w:p>
          <w:p>
            <w:pPr>
              <w:pStyle w:val="Abstand4pt"/>
            </w:pPr>
          </w:p>
          <w:p>
            <w:pPr>
              <w:pStyle w:val="Abstand4pt"/>
            </w:pPr>
          </w:p>
          <w:p>
            <w:pPr>
              <w:pStyle w:val="Bild"/>
              <w:jc w:val="center"/>
              <w:rPr>
                <w:rFonts w:eastAsia="Calibri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55pt;height:138.45pt" o:oleicon="f" o:ole="">
                  <v:imagedata r:id="rId7" o:title=""/>
                </v:shape>
                <o:OLEObject Type="Embed" ProgID="ChemDraw.Document.6.0" ShapeID="_x0000_i1025" DrawAspect="Content" ObjectID="_1757158908" r:id="rId8"/>
              </w:object>
            </w:r>
          </w:p>
          <w:p>
            <w:pPr>
              <w:pStyle w:val="Abstand4pt"/>
            </w:pPr>
          </w:p>
          <w:p>
            <w:pPr>
              <w:pStyle w:val="Abstand4pt"/>
            </w:pPr>
          </w:p>
          <w:p>
            <w:pPr>
              <w:pStyle w:val="Tab-Struktur109pt"/>
            </w:pPr>
            <w:r>
              <w:t>–</w:t>
            </w:r>
            <w:r>
              <w:tab/>
              <w:t xml:space="preserve">an den Positionen 3, 6 und 9 durch beliebige Alkylgruppen. </w:t>
            </w:r>
          </w:p>
          <w:p>
            <w:pPr>
              <w:pStyle w:val="Tabkrper29pt"/>
              <w:rPr>
                <w:b/>
                <w:bCs/>
              </w:rPr>
            </w:pPr>
            <w:r>
              <w:rPr>
                <w:bCs/>
              </w:rPr>
              <w:t xml:space="preserve">Von der Kontrolle ausgenommen ist die industrielle und die </w:t>
            </w:r>
            <w:r>
              <w:rPr>
                <w:bCs/>
                <w:noProof/>
              </w:rPr>
              <w:t>wissenschaft</w:t>
            </w:r>
            <w:r>
              <w:rPr>
                <w:bCs/>
                <w:noProof/>
              </w:rPr>
              <w:softHyphen/>
              <w:t>liche</w:t>
            </w:r>
            <w:r>
              <w:rPr>
                <w:bCs/>
              </w:rPr>
              <w:t xml:space="preserve"> </w:t>
            </w:r>
            <w:r>
              <w:t>Verwendung</w:t>
            </w:r>
            <w:r>
              <w:rPr>
                <w:bCs/>
              </w:rPr>
              <w:t>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304</w:t>
            </w:r>
          </w:p>
        </w:tc>
        <w:tc>
          <w:tcPr>
            <w:tcW w:w="5557" w:type="dxa"/>
          </w:tcPr>
          <w:p>
            <w:pPr>
              <w:pStyle w:val="Tabkrper49pt-fett"/>
              <w:rPr>
                <w:b w:val="0"/>
              </w:rPr>
            </w:pPr>
            <w:r>
              <w:t>Gidazepam</w:t>
            </w:r>
          </w:p>
          <w:p>
            <w:pPr>
              <w:pStyle w:val="Tabkrper29pt"/>
            </w:pPr>
            <w:r>
              <w:t>2-(7-Brom-2-oxo-5-phenyl-2,3-dihydro-1H-1,4-benzodiazepin-1-yl)aceto</w:t>
            </w:r>
            <w:r>
              <w:softHyphen/>
              <w:t>hydrazid</w:t>
            </w:r>
          </w:p>
          <w:p>
            <w:pPr>
              <w:pStyle w:val="Tabkrper29pt"/>
            </w:pPr>
            <w:r>
              <w:t>Hydazepam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305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Desalkylgidazepam</w:t>
            </w:r>
          </w:p>
          <w:p>
            <w:pPr>
              <w:pStyle w:val="Tabkrper29pt"/>
            </w:pPr>
            <w:r>
              <w:t>7-Brom-5-phenyl-1,3-dihydro-2H-1,4-benzodiazepin-2-on</w:t>
            </w:r>
          </w:p>
          <w:p>
            <w:pPr>
              <w:pStyle w:val="Tabkrper29pt"/>
            </w:pPr>
            <w:r>
              <w:t>Bromnordiazepam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306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1D-LSD</w:t>
            </w:r>
          </w:p>
          <w:p>
            <w:pPr>
              <w:pStyle w:val="Tabkrper29pt"/>
            </w:pPr>
            <w:r>
              <w:t>1-(1,2-Dimethylcyclobutan-1-carbonyl)-N,N-diethyl-6-methyl-9,10-didehydroergolin-8-carboxamid</w:t>
            </w:r>
          </w:p>
          <w:p>
            <w:pPr>
              <w:pStyle w:val="Tabkrper29pt"/>
            </w:pPr>
            <w:r>
              <w:t>1-(1,2-Dimethylcyclobutan-1-carbonyl)-lysergsäurediethylamid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307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HHCP</w:t>
            </w:r>
          </w:p>
          <w:p>
            <w:pPr>
              <w:pStyle w:val="Tabkrper29pt"/>
            </w:pPr>
            <w:r>
              <w:t>6,6,9-Trimethyl-3-heptyl-6a,7,8,9,10,10a-hexahydro-6H-benzo[c]chromen-1-ol</w:t>
            </w:r>
          </w:p>
          <w:p>
            <w:pPr>
              <w:pStyle w:val="Tabkrper29pt"/>
            </w:pPr>
            <w:r>
              <w:t>Hexahydrocannabiphorol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308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delta-9-THCP</w:t>
            </w:r>
          </w:p>
          <w:p>
            <w:pPr>
              <w:pStyle w:val="Tabkrper29pt"/>
            </w:pPr>
            <w:r>
              <w:t>3-Heptyl-6,6,9-trimethyl-6a,7,8,10a-tetrahydro-6H-benzo[c]chromen-1-ol</w:t>
            </w:r>
          </w:p>
          <w:p>
            <w:pPr>
              <w:pStyle w:val="Tabkrper29pt"/>
            </w:pPr>
            <w:r>
              <w:t>delta-9-Tetrahydrocannabiphorol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309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delta-8-THCP</w:t>
            </w:r>
          </w:p>
          <w:p>
            <w:pPr>
              <w:pStyle w:val="Tabkrper29pt"/>
            </w:pPr>
            <w:r>
              <w:t>3-Heptyl-6,6,9-trimethyl-6a,7,10,10a-tetrahydro-6H-benzo[c]chromen-1-ol</w:t>
            </w:r>
          </w:p>
          <w:p>
            <w:pPr>
              <w:pStyle w:val="Tabkrper29pt"/>
            </w:pPr>
            <w:r>
              <w:t>delta-8-Tetrahydrocannabiphorol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310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A-PONASA</w:t>
            </w:r>
          </w:p>
          <w:p>
            <w:pPr>
              <w:pStyle w:val="Tabkrper29pt"/>
            </w:pPr>
            <w:r>
              <w:t>N-Adamantyl-4-(pentyloxynaphthalin-1-yl)-sulfonamid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311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A-FUBIATA</w:t>
            </w:r>
          </w:p>
          <w:p>
            <w:pPr>
              <w:pStyle w:val="Tabkrper29pt"/>
            </w:pPr>
            <w:r>
              <w:t>N-(Adamantan-1-yl)-2-(1-(4-fluorbenzyl)-1H-indol-3-yl)acetamid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312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N,N-Dimethylpentylon</w:t>
            </w:r>
          </w:p>
          <w:p>
            <w:pPr>
              <w:pStyle w:val="Tabkrper29pt"/>
            </w:pPr>
            <w:r>
              <w:t>1-(1,3-Benzodioxol-5-yl)-2-(dimethylamino)pentan-1-on</w:t>
            </w:r>
          </w:p>
          <w:p>
            <w:pPr>
              <w:pStyle w:val="Tabkrper29pt"/>
            </w:pPr>
            <w:r>
              <w:t>Dipentylon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</w:tcPr>
          <w:p>
            <w:pPr>
              <w:pStyle w:val="Tabkrper49pt"/>
            </w:pPr>
            <w:r>
              <w:t>313</w:t>
            </w:r>
          </w:p>
        </w:tc>
        <w:tc>
          <w:tcPr>
            <w:tcW w:w="5557" w:type="dxa"/>
          </w:tcPr>
          <w:p>
            <w:pPr>
              <w:pStyle w:val="Tabkrper49pt-fett"/>
            </w:pPr>
            <w:r>
              <w:t>H4CBD</w:t>
            </w:r>
          </w:p>
          <w:p>
            <w:pPr>
              <w:pStyle w:val="Tabkrper29pt"/>
            </w:pPr>
            <w:r>
              <w:t>2-(2-Isopropyl-5-methylcyclohexyl)-5-pentylbenzo-1,3-diol</w:t>
            </w:r>
          </w:p>
          <w:p>
            <w:pPr>
              <w:pStyle w:val="Tabkrper29pt"/>
            </w:pPr>
            <w:r>
              <w:t>Tetrahydrocannabidiol</w:t>
            </w:r>
          </w:p>
          <w:p>
            <w:pPr>
              <w:pStyle w:val="Tabkrper29pt"/>
            </w:pPr>
            <w:r>
              <w:t xml:space="preserve">Von der Kontrolle ausgenommen ist die industrielle und die </w:t>
            </w:r>
            <w:r>
              <w:rPr>
                <w:noProof/>
              </w:rPr>
              <w:t>wissenschaft</w:t>
            </w:r>
            <w:r>
              <w:rPr>
                <w:noProof/>
              </w:rPr>
              <w:softHyphen/>
              <w:t>liche</w:t>
            </w:r>
            <w:r>
              <w:t xml:space="preserve"> Verwendung. Der private Gebrauch ist nicht von der Kontrolle ausgenommen.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Tababstandnach"/>
            </w:pPr>
          </w:p>
        </w:tc>
        <w:tc>
          <w:tcPr>
            <w:tcW w:w="5557" w:type="dxa"/>
            <w:tcBorders>
              <w:bottom w:val="single" w:sz="6" w:space="0" w:color="000000"/>
            </w:tcBorders>
          </w:tcPr>
          <w:p>
            <w:pPr>
              <w:pStyle w:val="Tababstandnach"/>
            </w:pPr>
          </w:p>
        </w:tc>
      </w:tr>
    </w:tbl>
    <w:p>
      <w:pPr>
        <w:pStyle w:val="Abstand4pt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right" w:pos="6123"/>
      </w:tabs>
    </w:pPr>
    <w:r>
      <w:rPr>
        <w:sz w:val="13"/>
      </w:rPr>
      <w:t>2023-1592</w:t>
    </w:r>
    <w:r>
      <w:tab/>
    </w:r>
    <w:r>
      <w:rPr>
        <w:noProof/>
      </w:rPr>
      <w:t>AS 2023 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2">
    <w:p>
      <w:pPr>
        <w:pStyle w:val="SR-Fussnote"/>
      </w:pPr>
    </w:p>
  </w:footnote>
  <w:footnote w:id="3">
    <w:p>
      <w:pPr>
        <w:pStyle w:val="FootnoteText"/>
      </w:pPr>
      <w:r>
        <w:rPr>
          <w:rStyle w:val="FootnoteReference"/>
          <w:noProof w:val="0"/>
        </w:rPr>
        <w:footnoteRef/>
      </w:r>
      <w:r>
        <w:tab/>
        <w:t xml:space="preserve">SR </w:t>
      </w:r>
      <w:r>
        <w:rPr>
          <w:b/>
          <w:bCs/>
        </w:rPr>
        <w:t>812.121.11</w:t>
      </w:r>
    </w:p>
  </w:footnote>
  <w:footnote w:id="4">
    <w:p>
      <w:pPr>
        <w:pStyle w:val="FootnoteText"/>
      </w:pPr>
      <w:r>
        <w:rPr>
          <w:rStyle w:val="FootnoteReference"/>
          <w:noProof w:val="0"/>
        </w:rPr>
        <w:footnoteRef/>
      </w:r>
      <w:r>
        <w:tab/>
        <w:t xml:space="preserve">Dringliche Veröffentlichung vom 9. Oktober 2023 im Sinne von Art. 7 Abs. 3 </w:t>
      </w:r>
      <w:r>
        <w:rPr>
          <w:noProof/>
        </w:rPr>
        <w:t>des Publikationsgesetzes</w:t>
      </w:r>
      <w:r>
        <w:t xml:space="preserve"> vom 18. Juni 2004 (SR </w:t>
      </w:r>
      <w:r>
        <w:rPr>
          <w:b/>
        </w:rPr>
        <w:t>170.512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Betäubungsmittelverzeichnisverordnung</w:t>
    </w:r>
    <w:r>
      <w:tab/>
    </w:r>
    <w:r>
      <w:rPr>
        <w:noProof/>
      </w:rPr>
      <w:t>AS 2023 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Betäubungsmittelverzeichnisverordnung</w:t>
    </w:r>
    <w:r>
      <w:tab/>
    </w:r>
    <w:r>
      <w:rPr>
        <w:noProof/>
      </w:rPr>
      <w:t>AS 2023 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6572" w:type="dxa"/>
      <w:tblInd w:w="-403" w:type="dxa"/>
      <w:tblCellMar>
        <w:left w:w="0" w:type="dxa"/>
        <w:right w:w="0" w:type="dxa"/>
      </w:tblCellMar>
      <w:tblLook w:val="04A0"/>
    </w:tblPr>
    <w:tblGrid>
      <w:gridCol w:w="2149"/>
      <w:gridCol w:w="3289"/>
      <w:gridCol w:w="1134"/>
    </w:tblGrid>
    <w:tr>
      <w:tblPrEx>
        <w:tblW w:w="6572" w:type="dxa"/>
        <w:tblInd w:w="-403" w:type="dxa"/>
        <w:tblCellMar>
          <w:left w:w="0" w:type="dxa"/>
          <w:right w:w="0" w:type="dxa"/>
        </w:tblCellMar>
        <w:tblLook w:val="04A0"/>
      </w:tblPrEx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r>
            <w:rPr>
              <w:noProof/>
            </w:rPr>
            <w:drawing>
              <wp:inline>
                <wp:extent cx="1371937" cy="409172"/>
                <wp:docPr id="10000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937" cy="409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>
                <wp:extent cx="666843" cy="666843"/>
                <wp:docPr id="10000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6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43" cy="666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mirrorMargins/>
  <w:attachedTemplate r:id="rId1"/>
  <w:linkStyles/>
  <w:stylePaneFormatFilter w:val="1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686"/>
  <w:clickAndTypeStyle w:val="Absatz"/>
  <w:autoHyphenation/>
  <w:consecutiveHyphenLimit w:val="3"/>
  <w:hyphenationZone w:val="460"/>
  <w:doNotHyphenateCaps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doNotEmbedSmartTag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000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5:docId w15:val="{F9C4ADC8-8315-4DCD-A3E6-28F1EC9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Heading1">
    <w:name w:val="heading 1"/>
    <w:next w:val="Heading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Heading2">
    <w:name w:val="heading 2"/>
    <w:basedOn w:val="Heading1"/>
    <w:next w:val="Heading9"/>
    <w:qFormat/>
    <w:pPr>
      <w:outlineLvl w:val="1"/>
    </w:pPr>
  </w:style>
  <w:style w:type="paragraph" w:styleId="Heading3">
    <w:name w:val="heading 3"/>
    <w:basedOn w:val="Heading1"/>
    <w:next w:val="Heading9"/>
    <w:qFormat/>
    <w:pPr>
      <w:outlineLvl w:val="2"/>
    </w:pPr>
  </w:style>
  <w:style w:type="paragraph" w:styleId="Heading4">
    <w:name w:val="heading 4"/>
    <w:basedOn w:val="Heading1"/>
    <w:next w:val="Heading9"/>
    <w:qFormat/>
    <w:pPr>
      <w:outlineLvl w:val="3"/>
    </w:pPr>
  </w:style>
  <w:style w:type="paragraph" w:styleId="Heading5">
    <w:name w:val="heading 5"/>
    <w:next w:val="Heading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Heading6">
    <w:name w:val="heading 6"/>
    <w:basedOn w:val="Heading5"/>
    <w:next w:val="Heading9"/>
    <w:qFormat/>
    <w:pPr>
      <w:framePr w:wrap="around"/>
      <w:outlineLvl w:val="5"/>
    </w:pPr>
  </w:style>
  <w:style w:type="paragraph" w:styleId="Heading7">
    <w:name w:val="heading 7"/>
    <w:basedOn w:val="Heading5"/>
    <w:next w:val="Heading9"/>
    <w:qFormat/>
    <w:pPr>
      <w:framePr w:wrap="around"/>
      <w:outlineLvl w:val="6"/>
    </w:pPr>
  </w:style>
  <w:style w:type="paragraph" w:styleId="Heading8">
    <w:name w:val="heading 8"/>
    <w:basedOn w:val="Heading5"/>
    <w:next w:val="Heading9"/>
    <w:qFormat/>
    <w:pPr>
      <w:framePr w:wrap="around"/>
      <w:outlineLvl w:val="7"/>
    </w:pPr>
  </w:style>
  <w:style w:type="paragraph" w:styleId="Heading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ooter">
    <w:name w:val="footer"/>
    <w:pPr>
      <w:spacing w:before="260" w:line="200" w:lineRule="exact"/>
    </w:pPr>
    <w:rPr>
      <w:sz w:val="18"/>
      <w:lang w:val="de-CH" w:eastAsia="de-DE"/>
    </w:rPr>
  </w:style>
  <w:style w:type="paragraph" w:styleId="Header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ootnoteReference">
    <w:name w:val="footnote reference"/>
    <w:rPr>
      <w:rFonts w:ascii="Times New Roman" w:hAnsi="Times New Roman"/>
      <w:noProof/>
      <w:position w:val="4"/>
      <w:sz w:val="13"/>
    </w:rPr>
  </w:style>
  <w:style w:type="paragraph" w:styleId="Footnote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Zchn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leGrid">
    <w:name w:val="Table Grid"/>
    <w:basedOn w:val="TableNormal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hidden/>
      <w:cantSplit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link w:val="TitelAnhangChar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link w:val="TitelAnhTextZchn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link w:val="TitelAnhrechtsZchn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ootnote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Header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ooter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TOC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TOC2">
    <w:name w:val="toc 2"/>
    <w:basedOn w:val="TOC1"/>
    <w:next w:val="Absatz"/>
    <w:pPr>
      <w:spacing w:before="120"/>
      <w:ind w:left="142"/>
    </w:pPr>
  </w:style>
  <w:style w:type="paragraph" w:styleId="TOC3">
    <w:name w:val="toc 3"/>
    <w:basedOn w:val="TOC2"/>
    <w:next w:val="Absatz"/>
    <w:pPr>
      <w:spacing w:before="100"/>
      <w:ind w:left="284"/>
    </w:pPr>
    <w:rPr>
      <w:bCs/>
      <w:sz w:val="20"/>
    </w:rPr>
  </w:style>
  <w:style w:type="paragraph" w:styleId="TOC4">
    <w:name w:val="toc 4"/>
    <w:basedOn w:val="TOC3"/>
    <w:next w:val="Absatz"/>
    <w:pPr>
      <w:spacing w:before="80"/>
      <w:ind w:left="425"/>
    </w:pPr>
    <w:rPr>
      <w:bCs w:val="0"/>
    </w:rPr>
  </w:style>
  <w:style w:type="paragraph" w:styleId="TOC5">
    <w:name w:val="toc 5"/>
    <w:basedOn w:val="TOC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TOC6">
    <w:name w:val="toc 6"/>
    <w:basedOn w:val="TOC5"/>
    <w:next w:val="Absatz"/>
    <w:pPr>
      <w:spacing w:before="40"/>
      <w:ind w:left="709"/>
    </w:pPr>
    <w:rPr>
      <w:bCs w:val="0"/>
      <w:sz w:val="18"/>
    </w:rPr>
  </w:style>
  <w:style w:type="paragraph" w:styleId="TOC7">
    <w:name w:val="toc 7"/>
    <w:basedOn w:val="TOC6"/>
    <w:next w:val="Absatz"/>
    <w:pPr>
      <w:ind w:left="851"/>
    </w:pPr>
  </w:style>
  <w:style w:type="paragraph" w:styleId="TOC8">
    <w:name w:val="toc 8"/>
    <w:basedOn w:val="TOC7"/>
    <w:next w:val="Absatz"/>
    <w:pPr>
      <w:ind w:left="993"/>
    </w:pPr>
  </w:style>
  <w:style w:type="paragraph" w:styleId="TOC9">
    <w:name w:val="toc 9"/>
    <w:basedOn w:val="TOC8"/>
    <w:next w:val="Absatz"/>
  </w:style>
  <w:style w:type="paragraph" w:customStyle="1" w:styleId="Inhaltsverzeichnis">
    <w:name w:val="Inhaltsverzeichnis"/>
    <w:basedOn w:val="Normal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Heading1"/>
    <w:pPr>
      <w:tabs>
        <w:tab w:val="left" w:pos="567"/>
      </w:tabs>
      <w:outlineLvl w:val="3"/>
    </w:pPr>
  </w:style>
  <w:style w:type="paragraph" w:customStyle="1" w:styleId="TitelAnh2">
    <w:name w:val="Titel Anh 2"/>
    <w:basedOn w:val="Heading2"/>
    <w:pPr>
      <w:tabs>
        <w:tab w:val="left" w:pos="567"/>
      </w:tabs>
      <w:outlineLvl w:val="4"/>
    </w:pPr>
  </w:style>
  <w:style w:type="paragraph" w:customStyle="1" w:styleId="TitelAnh3">
    <w:name w:val="Titel Anh 3"/>
    <w:basedOn w:val="Heading3"/>
    <w:pPr>
      <w:tabs>
        <w:tab w:val="left" w:pos="567"/>
      </w:tabs>
      <w:outlineLvl w:val="5"/>
    </w:pPr>
  </w:style>
  <w:style w:type="paragraph" w:customStyle="1" w:styleId="TitelAnh4">
    <w:name w:val="Titel Anh 4"/>
    <w:basedOn w:val="Heading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TOC5"/>
  </w:style>
  <w:style w:type="paragraph" w:customStyle="1" w:styleId="Verzeichnis6Artikel">
    <w:name w:val="Verzeichnis 6 Artikel"/>
    <w:basedOn w:val="TOC6"/>
    <w:rPr>
      <w:szCs w:val="18"/>
    </w:rPr>
  </w:style>
  <w:style w:type="paragraph" w:customStyle="1" w:styleId="Verzeichnis7Artikel">
    <w:name w:val="Verzeichnis 7 Artikel"/>
    <w:basedOn w:val="TOC7"/>
    <w:rPr>
      <w:szCs w:val="18"/>
    </w:rPr>
  </w:style>
  <w:style w:type="paragraph" w:customStyle="1" w:styleId="Verzeichnis8Artikel">
    <w:name w:val="Verzeichnis 8 Artikel"/>
    <w:basedOn w:val="TOC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ootnoteText"/>
    <w:rPr>
      <w:sz w:val="16"/>
      <w:lang w:val="de-CH" w:eastAsia="de-DE"/>
    </w:rPr>
  </w:style>
  <w:style w:type="character" w:customStyle="1" w:styleId="AbsatzZchn">
    <w:name w:val="Absatz Zchn"/>
    <w:link w:val="Absatz"/>
    <w:rPr>
      <w:sz w:val="18"/>
      <w:lang w:val="de-CH" w:eastAsia="de-DE"/>
    </w:rPr>
  </w:style>
  <w:style w:type="character" w:customStyle="1" w:styleId="TitelAnhTextZchn">
    <w:name w:val="Titel Anh Text Zchn"/>
    <w:link w:val="TitelAnhText"/>
    <w:rPr>
      <w:sz w:val="18"/>
      <w:lang w:val="de-CH" w:eastAsia="de-DE"/>
    </w:rPr>
  </w:style>
  <w:style w:type="character" w:customStyle="1" w:styleId="TitelAnhrechtsZchn">
    <w:name w:val="Titel Anh rechts Zchn"/>
    <w:link w:val="TitelAnhrechts"/>
    <w:rPr>
      <w:i/>
      <w:sz w:val="18"/>
      <w:lang w:val="de-CH" w:eastAsia="de-DE"/>
    </w:rPr>
  </w:style>
  <w:style w:type="character" w:customStyle="1" w:styleId="TitelAnhangChar">
    <w:name w:val="Titel Anhang Char"/>
    <w:link w:val="TitelAnhang"/>
    <w:rPr>
      <w:b/>
      <w:sz w:val="22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
	<Relationship Id="rId1" Type="http://schemas.openxmlformats.org/officeDocument/2006/relationships/footnotes" Target="footnotes.xml" />
	<Relationship Id="rId10" Type="http://schemas.openxmlformats.org/officeDocument/2006/relationships/header" Target="header2.xml" />
	<Relationship Id="rId11" Type="http://schemas.openxmlformats.org/officeDocument/2006/relationships/footer" Target="footer1.xml" />
	<Relationship Id="rId12" Type="http://schemas.openxmlformats.org/officeDocument/2006/relationships/footer" Target="footer2.xml" />
	<Relationship Id="rId13" Type="http://schemas.openxmlformats.org/officeDocument/2006/relationships/header" Target="header3.xml" />
	<Relationship Id="rId14" Type="http://schemas.openxmlformats.org/officeDocument/2006/relationships/footer" Target="footer3.xml" />
	<Relationship Id="rId15" Type="http://schemas.openxmlformats.org/officeDocument/2006/relationships/theme" Target="theme/theme1.xml" />
	<Relationship Id="rId16" Type="http://schemas.openxmlformats.org/officeDocument/2006/relationships/styles" Target="styles.xml" />
	<Relationship Id="rId2" Type="http://schemas.openxmlformats.org/officeDocument/2006/relationships/endnotes" Target="endnotes.xml" />
	<Relationship Id="rId3" Type="http://schemas.openxmlformats.org/officeDocument/2006/relationships/settings" Target="settings.xml" />
	<Relationship Id="rId4" Type="http://schemas.openxmlformats.org/officeDocument/2006/relationships/webSettings" Target="webSettings.xml" />
	<Relationship Id="rId5" Type="http://schemas.openxmlformats.org/officeDocument/2006/relationships/fontTable" Target="fontTable.xml" />
	<Relationship Id="rId6" Type="http://schemas.openxmlformats.org/officeDocument/2006/relationships/customXml" Target="../customXml/item1.xml" />
	<Relationship Id="rId7" Type="http://schemas.openxmlformats.org/officeDocument/2006/relationships/image" Target="media/image1.emf" />
	<Relationship Id="rId8" Type="http://schemas.openxmlformats.org/officeDocument/2006/relationships/oleObject" Target="embeddings/oleObject1.bin" />
	<Relationship Id="rId9" Type="http://schemas.openxmlformats.org/officeDocument/2006/relationships/header" Target="header1.xml" />
</Relationships>
</file>

<file path=word/_rels/header3.xml.rels><?xml version="1.0" encoding="utf-8" standalone="yes"?>
<Relationships xmlns="http://schemas.openxmlformats.org/package/2006/relationships">
	<Relationship Id="rId1" Type="http://schemas.openxmlformats.org/officeDocument/2006/relationships/image" Target="media/image2.png" />
	<Relationship Id="rId2" Type="http://schemas.openxmlformats.org/officeDocument/2006/relationships/image" Target="media/image3.svg" />
	<Relationship Id="rId3" Type="http://schemas.openxmlformats.org/officeDocument/2006/relationships/image" Target="media/image4.emf" />
	<Relationship Id="rId4" Type="http://schemas.openxmlformats.org/officeDocument/2006/relationships/image" Target="media/image5.png" />
</Relationships>
</file>

<file path=word/_rels/settings.xml.rels><?xml version="1.0" encoding="utf-8" standalone="yes"?>
<Relationships xmlns="http://schemas.openxmlformats.org/package/2006/relationships">
	<Relationship Id="rId1" Type="http://schemas.openxmlformats.org/officeDocument/2006/relationships/attachedTemplate" Target="file:///C:\Users\U80866840\AppData\Roaming\Microsoft\Templates\AS-Vorl.dotm" TargetMode="External" />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	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AS-Vorl.dotm</Template>
  <TotalTime>0</TotalTime>
  <Pages>4</Pages>
  <Words>302</Words>
  <Characters>2800</Characters>
  <Application>Microsoft Office Word</Application>
  <DocSecurity>0</DocSecurity>
  <Lines>104</Lines>
  <Paragraphs>68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Schweizerische Bundeskanzlei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2023 569</dc:title>
  <dc:subject>Gesetzgebungsprozess / Bundesratsgeschäfte</dc:subject>
  <dc:creator>Schweizerische Bundeskanzlei</dc:creator>
  <cp:keywords>Rechtstext Formatvorlage DfV</cp:keywords>
  <cp:lastModifiedBy>Publish service</cp:lastModifiedBy>
  <cp:revision>4</cp:revision>
  <cp:lastPrinted>2001-02-23T11:20:00Z</cp:lastPrinted>
  <dcterms:created xsi:type="dcterms:W3CDTF">2023-10-09T07:57:40Z</dcterms:created>
  <dcterms:modified xsi:type="dcterms:W3CDTF">2023-09-25T12:55:00Z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ndK-D">
    <vt:lpwstr>Der Bundeskanzler: Walter Thurnherr</vt:lpwstr>
  </property>
  <property fmtid="{D5CDD505-2E9C-101B-9397-08002B2CF9AE}" pid="3" name="BundK-F">
    <vt:lpwstr>Le chancelier de la Confédération, Walter Thurnherr</vt:lpwstr>
  </property>
  <property fmtid="{D5CDD505-2E9C-101B-9397-08002B2CF9AE}" pid="4" name="BundK-I">
    <vt:lpwstr>Il cancelliere della Confederazione, Walter Thurnherr</vt:lpwstr>
  </property>
  <property fmtid="{D5CDD505-2E9C-101B-9397-08002B2CF9AE}" pid="5" name="BundP-D">
    <vt:lpwstr>Der Bundespräsident: Alain Berset</vt:lpwstr>
  </property>
  <property fmtid="{D5CDD505-2E9C-101B-9397-08002B2CF9AE}" pid="6" name="BundP-F">
    <vt:lpwstr>Le président de la Confédération, Alain Berset</vt:lpwstr>
  </property>
  <property fmtid="{D5CDD505-2E9C-101B-9397-08002B2CF9AE}" pid="7" name="BundP-I">
    <vt:lpwstr>Il presidente della Confederazione, Alain Berset</vt:lpwstr>
  </property>
  <property fmtid="{D5CDD505-2E9C-101B-9397-08002B2CF9AE}" pid="8" name="KavIntern">
    <vt:bool>true</vt:bool>
  </property>
  <property fmtid="{D5CDD505-2E9C-101B-9397-08002B2CF9AE}" pid="9" name="MesserliAktiv">
    <vt:bool>true</vt:bool>
  </property>
  <property fmtid="{D5CDD505-2E9C-101B-9397-08002B2CF9AE}" pid="10" name="MesserliCheck">
    <vt:i4>45194</vt:i4>
  </property>
  <property fmtid="{D5CDD505-2E9C-101B-9397-08002B2CF9AE}" pid="11" name="Originalvorlage">
    <vt:lpwstr>Source ls</vt:lpwstr>
  </property>
  <property fmtid="{D5CDD505-2E9C-101B-9397-08002B2CF9AE}" pid="12" name="WordInitAktiv">
    <vt:bool>false</vt:bool>
  </property>
</Properties>
</file>