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pPr>
        <w:pStyle w:val="Zyan-Feld"/>
        <w:rPr>
          <w:lang w:val="fr-CH"/>
        </w:rPr>
      </w:pPr>
      <w:r>
        <w:rPr>
          <w:lang w:val="fr-CH"/>
        </w:rPr>
        <w:t>Nicht löschen bitte "</w:t>
      </w:r>
      <w:r>
        <w:rPr>
          <w:rStyle w:val="FootnoteReference"/>
          <w:noProof w:val="0"/>
          <w:position w:val="0"/>
          <w:sz w:val="18"/>
          <w:lang w:val="fr-CH"/>
        </w:rPr>
        <w:footnoteReference w:customMarkFollows="1" w:id="2"/>
        <w:t xml:space="preserve"> </w:t>
      </w:r>
      <w:r>
        <w:rPr>
          <w:lang w:val="fr-CH"/>
        </w:rPr>
        <w:t>" !!</w:t>
      </w:r>
    </w:p>
    <w:p>
      <w:pPr>
        <w:pStyle w:val="Zyan-Feld"/>
        <w:rPr>
          <w:lang w:val="fr-CH"/>
        </w:rPr>
      </w:pPr>
      <w:r>
        <w:rPr>
          <w:lang w:val="fr-CH"/>
        </w:rPr>
        <w:t>Schweizerische Bundeskanzlei / Kompetenzzentrum Amtliche Veröffentlichungen (KAV)</w:t>
      </w:r>
    </w:p>
    <w:p>
      <w:pPr>
        <w:pStyle w:val="ErlassTitel"/>
        <w:rPr>
          <w:lang w:val="fr-CH"/>
        </w:rPr>
      </w:pPr>
      <w:bookmarkStart w:id="0" w:name="_Hlk121746045"/>
      <w:r>
        <w:rPr>
          <w:lang w:val="fr-CH"/>
        </w:rPr>
        <w:t xml:space="preserve">Arrêté fédéral </w:t>
      </w:r>
      <w:r>
        <w:rPr>
          <w:lang w:val="fr-CH"/>
        </w:rPr>
        <w:br/>
        <w:t>concernant l’initiative populaire «Pour la liberté et l’intégrité physique»</w:t>
      </w:r>
    </w:p>
    <w:p>
      <w:pPr>
        <w:pStyle w:val="Abstand18pt"/>
        <w:rPr>
          <w:lang w:val="fr-CH"/>
        </w:rPr>
      </w:pPr>
    </w:p>
    <w:p>
      <w:pPr>
        <w:pStyle w:val="ErlassDatum"/>
        <w:rPr>
          <w:lang w:val="fr-CH"/>
        </w:rPr>
      </w:pPr>
      <w:r>
        <w:rPr>
          <w:lang w:val="fr-CH"/>
        </w:rPr>
        <w:t>du 29 septembre 2023</w:t>
      </w:r>
    </w:p>
    <w:p>
      <w:pPr>
        <w:pStyle w:val="ErlassLinie"/>
        <w:rPr>
          <w:lang w:val="fr-CH"/>
        </w:rPr>
      </w:pPr>
    </w:p>
    <w:p>
      <w:pPr>
        <w:pStyle w:val="Autor"/>
        <w:rPr>
          <w:lang w:val="fr-CH"/>
        </w:rPr>
      </w:pPr>
      <w:r>
        <w:rPr>
          <w:lang w:val="fr-CH"/>
        </w:rPr>
        <w:t>L’Assemblée fédérale de la Confédération suisse,</w:t>
      </w:r>
    </w:p>
    <w:p>
      <w:pPr>
        <w:pStyle w:val="Ingress"/>
        <w:rPr>
          <w:lang w:val="fr-CH"/>
        </w:rPr>
      </w:pPr>
      <w:r>
        <w:rPr>
          <w:lang w:val="fr-CH"/>
        </w:rPr>
        <w:t>vu l’art. 139, al. 5, de la Constitution</w:t>
      </w:r>
      <w:r>
        <w:rPr>
          <w:rStyle w:val="FootnoteReference"/>
          <w:noProof w:val="0"/>
          <w:lang w:val="fr-CH"/>
        </w:rPr>
        <w:footnoteReference w:id="3"/>
      </w:r>
      <w:r>
        <w:rPr>
          <w:lang w:val="fr-CH"/>
        </w:rPr>
        <w:t>,</w:t>
      </w:r>
      <w:r>
        <w:rPr>
          <w:lang w:val="fr-CH"/>
        </w:rPr>
        <w:br/>
        <w:t>vu l’initiative populaire «Pour la liberté et l’intégrité physique» déposée le 16 décembre 2021</w:t>
      </w:r>
      <w:r>
        <w:rPr>
          <w:rStyle w:val="FootnoteReference"/>
          <w:noProof w:val="0"/>
          <w:lang w:val="fr-CH"/>
        </w:rPr>
        <w:footnoteReference w:id="4"/>
      </w:r>
      <w:r>
        <w:rPr>
          <w:lang w:val="fr-CH"/>
        </w:rPr>
        <w:t>,</w:t>
      </w:r>
      <w:r>
        <w:rPr>
          <w:lang w:val="fr-CH"/>
        </w:rPr>
        <w:br/>
        <w:t>vu le message du Conseil fédéral du 9 décembre 2022</w:t>
      </w:r>
      <w:r>
        <w:rPr>
          <w:rStyle w:val="FootnoteReference"/>
          <w:noProof w:val="0"/>
          <w:lang w:val="fr-CH"/>
        </w:rPr>
        <w:footnoteReference w:id="5"/>
      </w:r>
      <w:r>
        <w:rPr>
          <w:lang w:val="fr-CH"/>
        </w:rPr>
        <w:t>,</w:t>
      </w:r>
    </w:p>
    <w:p>
      <w:pPr>
        <w:pStyle w:val="Verb"/>
        <w:rPr>
          <w:lang w:val="fr-CH"/>
        </w:rPr>
      </w:pPr>
      <w:r>
        <w:rPr>
          <w:lang w:val="fr-CH"/>
        </w:rPr>
        <w:t>arrête:</w:t>
      </w:r>
    </w:p>
    <w:p>
      <w:pPr>
        <w:pStyle w:val="Heading9"/>
        <w:rPr>
          <w:b/>
          <w:bCs/>
          <w:lang w:val="fr-CH"/>
        </w:rPr>
      </w:pPr>
      <w:r>
        <w:rPr>
          <w:b/>
          <w:bCs/>
          <w:lang w:val="fr-CH"/>
        </w:rPr>
        <w:t>Art. 1</w:t>
      </w:r>
    </w:p>
    <w:p>
      <w:pPr>
        <w:pStyle w:val="Absatz"/>
        <w:rPr>
          <w:lang w:val="fr-CH"/>
        </w:rPr>
      </w:pPr>
      <w:r>
        <w:rPr>
          <w:position w:val="4"/>
          <w:sz w:val="13"/>
          <w:lang w:val="fr-CH"/>
        </w:rPr>
        <w:t>1</w:t>
      </w:r>
      <w:r>
        <w:rPr>
          <w:lang w:val="fr-CH"/>
        </w:rPr>
        <w:t> L’initiative populaire du 16 décembre 2021 «Pour la liberté et l’intégrité physique» est valable et sera soumise au vote du peuple et des cantons.</w:t>
      </w:r>
    </w:p>
    <w:p>
      <w:pPr>
        <w:pStyle w:val="Absatz"/>
        <w:rPr>
          <w:lang w:val="fr-CH"/>
        </w:rPr>
      </w:pPr>
      <w:r>
        <w:rPr>
          <w:position w:val="4"/>
          <w:sz w:val="13"/>
          <w:lang w:val="fr-CH"/>
        </w:rPr>
        <w:t>2 </w:t>
      </w:r>
      <w:r>
        <w:rPr>
          <w:lang w:val="fr-CH"/>
        </w:rPr>
        <w:t>Elle a la teneur suivante:</w:t>
      </w:r>
    </w:p>
    <w:p>
      <w:pPr>
        <w:pStyle w:val="Abstand4pt"/>
        <w:rPr>
          <w:lang w:val="fr-CH"/>
        </w:rPr>
      </w:pPr>
    </w:p>
    <w:p>
      <w:pPr>
        <w:pStyle w:val="Absatz"/>
        <w:rPr>
          <w:lang w:val="fr-CH"/>
        </w:rPr>
      </w:pPr>
      <w:r>
        <w:rPr>
          <w:lang w:val="fr-CH"/>
        </w:rPr>
        <w:t>La Constitution est modifiée comme suit:</w:t>
      </w:r>
    </w:p>
    <w:p>
      <w:pPr>
        <w:pStyle w:val="VerweisArtkursiv"/>
        <w:rPr>
          <w:lang w:val="fr-CH"/>
        </w:rPr>
      </w:pPr>
      <w:r>
        <w:rPr>
          <w:lang w:val="fr-CH"/>
        </w:rPr>
        <w:t>Art. 10, al. 2</w:t>
      </w:r>
      <w:r>
        <w:rPr>
          <w:position w:val="4"/>
          <w:sz w:val="13"/>
          <w:lang w:val="fr-CH"/>
        </w:rPr>
        <w:t>bis</w:t>
      </w:r>
    </w:p>
    <w:p>
      <w:pPr>
        <w:pStyle w:val="Absatz"/>
        <w:rPr>
          <w:lang w:val="fr-CH" w:eastAsia="de-CH"/>
        </w:rPr>
      </w:pPr>
      <w:r>
        <w:rPr>
          <w:position w:val="4"/>
          <w:sz w:val="13"/>
          <w:lang w:val="fr-CH"/>
        </w:rPr>
        <w:t>2bis</w:t>
      </w:r>
      <w:r>
        <w:rPr>
          <w:lang w:val="fr-CH"/>
        </w:rPr>
        <w:t> Les atteintes à l’intégrité physique ou psychique d’une personne requièrent son consentement. Si la personne concernée refuse de donner son consentement, elle ne doit ni se voir infliger une peine, ni subir de préjudices sociaux ou professionnels.</w:t>
      </w:r>
    </w:p>
    <w:p>
      <w:pPr>
        <w:pStyle w:val="VerweisArtkursiv"/>
        <w:rPr>
          <w:lang w:val="fr-CH"/>
        </w:rPr>
      </w:pPr>
      <w:r>
        <w:rPr>
          <w:lang w:val="fr-CH"/>
        </w:rPr>
        <w:t>Art. 197, ch. 12</w:t>
      </w:r>
      <w:r>
        <w:rPr>
          <w:rStyle w:val="FootnoteReference"/>
          <w:i w:val="0"/>
          <w:iCs/>
          <w:noProof w:val="0"/>
          <w:lang w:val="fr-CH"/>
        </w:rPr>
        <w:footnoteReference w:id="6"/>
      </w:r>
    </w:p>
    <w:p>
      <w:pPr>
        <w:pStyle w:val="Tab-Utit9pt-kurs"/>
        <w:rPr>
          <w:lang w:val="fr-CH"/>
        </w:rPr>
      </w:pPr>
      <w:r>
        <w:rPr>
          <w:lang w:val="fr-CH"/>
        </w:rPr>
        <w:t>12. Disposition transitoire ad art. 10, al. 2</w:t>
      </w:r>
      <w:r>
        <w:rPr>
          <w:position w:val="4"/>
          <w:sz w:val="13"/>
          <w:lang w:val="fr-CH"/>
        </w:rPr>
        <w:t>bis</w:t>
      </w:r>
      <w:r>
        <w:rPr>
          <w:lang w:val="fr-CH"/>
        </w:rPr>
        <w:t xml:space="preserve"> (Droit à l’intégrité physique et </w:t>
      </w:r>
      <w:r>
        <w:rPr>
          <w:noProof/>
          <w:lang w:val="fr-CH"/>
        </w:rPr>
        <w:t>psychique)</w:t>
      </w:r>
    </w:p>
    <w:p>
      <w:pPr>
        <w:pStyle w:val="Absatz"/>
        <w:keepNext/>
        <w:keepLines/>
        <w:rPr>
          <w:lang w:val="fr-CH"/>
        </w:rPr>
      </w:pPr>
      <w:r>
        <w:rPr>
          <w:lang w:val="fr-CH"/>
        </w:rPr>
        <w:t>L’Assemblée fédérale édicte les dispositions d’exécution de l’art. 10, al. 2</w:t>
      </w:r>
      <w:r>
        <w:rPr>
          <w:position w:val="4"/>
          <w:sz w:val="13"/>
          <w:lang w:val="fr-CH"/>
        </w:rPr>
        <w:t>bis</w:t>
      </w:r>
      <w:r>
        <w:rPr>
          <w:lang w:val="fr-CH"/>
        </w:rPr>
        <w:t>, un an au plus tard après l’acceptation dudit article par le peuple et les cantons. Si les dispositions d’exécution n’entrent pas en vigueur dans ce délai, le Conseil fédéral les édicte sous la forme d’une ordonnance et les met en vigueur à cette échéance. L’ordonnance a effet jusqu’à l’entrée en vigueur des dispositions édictées par l’Assemblée fédérale.</w:t>
      </w:r>
    </w:p>
    <w:p>
      <w:pPr>
        <w:pStyle w:val="Heading9"/>
        <w:rPr>
          <w:b/>
          <w:bCs/>
          <w:lang w:val="fr-CH"/>
        </w:rPr>
      </w:pPr>
      <w:r>
        <w:rPr>
          <w:b/>
          <w:bCs/>
          <w:lang w:val="fr-CH"/>
        </w:rPr>
        <w:t>Art. 2</w:t>
      </w:r>
    </w:p>
    <w:p>
      <w:pPr>
        <w:pStyle w:val="Absatz"/>
        <w:rPr>
          <w:lang w:val="fr-CH"/>
        </w:rPr>
      </w:pPr>
      <w:r>
        <w:rPr>
          <w:lang w:val="fr-CH"/>
        </w:rPr>
        <w:t>L’Assemblée fédérale recommande au peuple et aux cantons de rejeter l’initiative.</w:t>
      </w:r>
      <w:bookmarkEnd w:id="0"/>
    </w:p>
    <w:tbl>
      <w:tblPr>
        <w:tblW w:w="6123" w:type="dxa"/>
        <w:tblLayout w:type="fixed"/>
        <w:tblCellMar>
          <w:left w:w="0" w:type="dxa"/>
          <w:right w:w="0" w:type="dxa"/>
        </w:tblCellMar>
        <w:tblLook w:val="0000"/>
      </w:tblPr>
      <w:tblGrid>
        <w:gridCol w:w="3346"/>
        <w:gridCol w:w="2777"/>
      </w:tblGrid>
      <w:tr>
        <w:tblPrEx>
          <w:tblW w:w="6123" w:type="dxa"/>
          <w:tblLayout w:type="fixed"/>
          <w:tblCellMar>
            <w:left w:w="0" w:type="dxa"/>
            <w:right w:w="0" w:type="dxa"/>
          </w:tblCellMar>
          <w:tblLook w:val="0000"/>
        </w:tblPrEx>
        <w:trPr>
          <w:cantSplit/>
        </w:trPr>
        <w:tc>
          <w:tcPr>
            <w:tcW w:w="3346" w:type="dxa"/>
          </w:tcPr>
          <w:p>
            <w:pPr>
              <w:pStyle w:val="UnterschriftenFI1"/>
              <w:rPr>
                <w:lang w:val="fr-CH"/>
              </w:rPr>
            </w:pPr>
            <w:r>
              <w:rPr>
                <w:lang w:val="fr-CH"/>
              </w:rPr>
              <w:t>Conseil national, 29 septembre 2023</w:t>
            </w:r>
          </w:p>
          <w:p>
            <w:pPr>
              <w:pStyle w:val="UnterschriftenFI"/>
              <w:rPr>
                <w:lang w:val="fr-CH"/>
              </w:rPr>
            </w:pPr>
            <w:r>
              <w:rPr>
                <w:lang w:val="fr-CH"/>
              </w:rPr>
              <w:t>Le président: Martin Candinas</w:t>
            </w:r>
            <w:r>
              <w:rPr>
                <w:lang w:val="fr-CH"/>
              </w:rPr>
              <w:br/>
              <w:t>Le secrétaire: Pierre-Hervé Freléchoz</w:t>
            </w:r>
          </w:p>
        </w:tc>
        <w:tc>
          <w:tcPr>
            <w:tcW w:w="2777" w:type="dxa"/>
          </w:tcPr>
          <w:p>
            <w:pPr>
              <w:pStyle w:val="UnterschriftenFI1"/>
              <w:rPr>
                <w:lang w:val="fr-CH"/>
              </w:rPr>
            </w:pPr>
            <w:r>
              <w:rPr>
                <w:lang w:val="fr-CH"/>
              </w:rPr>
              <w:t>Conseil des États, 29 septembre 2023</w:t>
            </w:r>
          </w:p>
          <w:p>
            <w:pPr>
              <w:pStyle w:val="UnterschriftenFI"/>
              <w:rPr>
                <w:lang w:val="fr-CH"/>
              </w:rPr>
            </w:pPr>
            <w:r>
              <w:rPr>
                <w:lang w:val="fr-CH"/>
              </w:rPr>
              <w:t>La présidente: Brigitte Häberli-Koller</w:t>
            </w:r>
            <w:r>
              <w:rPr>
                <w:lang w:val="fr-CH"/>
              </w:rPr>
              <w:br/>
              <w:t>La secrétaire: Martina Buol</w:t>
            </w:r>
          </w:p>
        </w:tc>
      </w:tr>
    </w:tbl>
    <w:p>
      <w:pPr>
        <w:pStyle w:val="Abstand4pt"/>
        <w:rPr>
          <w:lang w:val="fr-CH"/>
        </w:rPr>
      </w:pPr>
    </w:p>
    <w:sectPr>
      <w:headerReference w:type="even" r:id="rId7"/>
      <w:headerReference w:type="default" r:id="rId8"/>
      <w:footerReference w:type="even" r:id="rId9"/>
      <w:footerReference w:type="default" r:id="rId10"/>
      <w:headerReference w:type="first" r:id="rId11"/>
      <w:footerReference w:type="first" r:id="rId12"/>
      <w:pgSz w:w="8392" w:h="11907" w:code="11"/>
      <w:pgMar w:top="737" w:right="1134" w:bottom="850" w:left="1134"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2</w:t>
    </w:r>
    <w:r>
      <w:fldChar w:fldCharType="end"/>
    </w:r>
    <w:r>
      <w:t xml:space="preserve"> / </w:t>
    </w:r>
    <w:r>
      <w:fldChar w:fldCharType="begin"/>
    </w:r>
    <w:r>
      <w:instrText xml:space="preserve"> NUMPAGES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rPr>
        <w:noProof/>
      </w:rPr>
      <w:t>3</w:t>
    </w:r>
    <w:r>
      <w:fldChar w:fldCharType="end"/>
    </w:r>
    <w:r>
      <w:t xml:space="preserve"> / </w:t>
    </w:r>
    <w:r>
      <w:fldChar w:fldCharType="begin"/>
    </w:r>
    <w:r>
      <w:instrText xml:space="preserve"> NUMPAGES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rPr>
      <w:t>2023-2781</w:t>
    </w:r>
    <w:r>
      <w:tab/>
    </w:r>
    <w:r>
      <w:rPr>
        <w:noProof/>
      </w:rPr>
      <w:t>FF 2023 2287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SR-Fussnote"/>
        <w:rPr>
          <w:lang w:val="fr-CH"/>
        </w:rPr>
      </w:pPr>
      <w:r>
        <w:rPr>
          <w:rStyle w:val="FootnoteReference"/>
          <w:noProof w:val="0"/>
          <w:lang w:val="fr-CH"/>
        </w:rPr>
        <w:t> </w:t>
      </w:r>
    </w:p>
  </w:footnote>
  <w:footnote w:id="3">
    <w:p>
      <w:pPr>
        <w:pStyle w:val="FootnoteText"/>
        <w:rPr>
          <w:lang w:val="fr-CH"/>
        </w:rPr>
      </w:pPr>
      <w:r>
        <w:rPr>
          <w:rStyle w:val="FootnoteReference"/>
          <w:noProof w:val="0"/>
          <w:lang w:val="fr-CH"/>
        </w:rPr>
        <w:footnoteRef/>
      </w:r>
      <w:r>
        <w:rPr>
          <w:lang w:val="fr-CH"/>
        </w:rPr>
        <w:tab/>
        <w:t xml:space="preserve">RS </w:t>
      </w:r>
      <w:r>
        <w:rPr>
          <w:b/>
          <w:lang w:val="fr-CH"/>
        </w:rPr>
        <w:t>101</w:t>
      </w:r>
    </w:p>
  </w:footnote>
  <w:footnote w:id="4">
    <w:p>
      <w:pPr>
        <w:pStyle w:val="FootnoteText"/>
        <w:rPr>
          <w:lang w:val="fr-CH"/>
        </w:rPr>
      </w:pPr>
      <w:r>
        <w:rPr>
          <w:rStyle w:val="FootnoteReference"/>
          <w:noProof w:val="0"/>
          <w:lang w:val="fr-CH"/>
        </w:rPr>
        <w:footnoteRef/>
      </w:r>
      <w:r>
        <w:rPr>
          <w:lang w:val="fr-CH"/>
        </w:rPr>
        <w:tab/>
        <w:t xml:space="preserve">FF </w:t>
      </w:r>
      <w:r>
        <w:rPr>
          <w:b/>
          <w:bCs/>
          <w:lang w:val="fr-CH"/>
        </w:rPr>
        <w:t>2022</w:t>
      </w:r>
      <w:r>
        <w:rPr>
          <w:lang w:val="fr-CH"/>
        </w:rPr>
        <w:t xml:space="preserve"> 195</w:t>
      </w:r>
    </w:p>
  </w:footnote>
  <w:footnote w:id="5">
    <w:p>
      <w:pPr>
        <w:pStyle w:val="FootnoteText"/>
        <w:rPr>
          <w:lang w:val="fr-CH"/>
        </w:rPr>
      </w:pPr>
      <w:r>
        <w:rPr>
          <w:rStyle w:val="FootnoteReference"/>
          <w:noProof w:val="0"/>
          <w:lang w:val="fr-CH"/>
        </w:rPr>
        <w:footnoteRef/>
      </w:r>
      <w:r>
        <w:rPr>
          <w:lang w:val="fr-CH"/>
        </w:rPr>
        <w:tab/>
        <w:t xml:space="preserve">FF </w:t>
      </w:r>
      <w:r>
        <w:rPr>
          <w:b/>
          <w:bCs/>
          <w:lang w:val="fr-CH"/>
        </w:rPr>
        <w:t>2023</w:t>
      </w:r>
      <w:r>
        <w:rPr>
          <w:lang w:val="fr-CH"/>
        </w:rPr>
        <w:t xml:space="preserve"> 59</w:t>
      </w:r>
    </w:p>
  </w:footnote>
  <w:footnote w:id="6">
    <w:p>
      <w:pPr>
        <w:pStyle w:val="FootnoteText"/>
        <w:rPr>
          <w:lang w:val="fr-CH"/>
        </w:rPr>
      </w:pPr>
      <w:r>
        <w:rPr>
          <w:rStyle w:val="FootnoteReference"/>
          <w:noProof w:val="0"/>
          <w:lang w:val="fr-CH"/>
        </w:rPr>
        <w:footnoteRef/>
      </w:r>
      <w:r>
        <w:rPr>
          <w:lang w:val="fr-CH"/>
        </w:rPr>
        <w:tab/>
        <w:t xml:space="preserve">Le numéro définitif de la présente disposition transitoire sera fixé par la Chancellerie </w:t>
      </w:r>
      <w:r>
        <w:rPr>
          <w:noProof/>
          <w:lang w:val="fr-CH"/>
        </w:rPr>
        <w:t>fédérale</w:t>
      </w:r>
      <w:r>
        <w:rPr>
          <w:lang w:val="fr-CH"/>
        </w:rPr>
        <w:t xml:space="preserve"> après le scrutin.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t>Initiative populaire «Pour la liberté et l’intégrité physique». AF</w:t>
    </w:r>
    <w:r>
      <w:tab/>
    </w:r>
    <w:r>
      <w:rPr>
        <w:noProof/>
      </w:rPr>
      <w:t>FF 2023 2287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t>Ordonnance</w:t>
    </w:r>
    <w:r>
      <w:tab/>
    </w:r>
    <w:r>
      <w:rPr>
        <w:noProof/>
      </w:rPr>
      <w:t>FF 2023 2287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49"/>
      <w:gridCol w:w="3289"/>
      <w:gridCol w:w="1134"/>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rPr>
            <w:drawing>
              <wp:inline distT="0" distB="0" distL="0" distR="0">
                <wp:extent cx="1350000" cy="34200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xmlns:r="http://schemas.openxmlformats.org/officeDocument/2006/relationships" r:embed="rId1">
                          <a:extLst>
                            <a:ext uri="{96DAC541-7B7A-43D3-8B79-37D633B846F1}">
                              <asvg:svgBlip xmlns:asvg="http://schemas.microsoft.com/office/drawing/2016/SVG/main" r:embed="rId2"/>
                            </a:ext>
                          </a:extLst>
                        </a:blip>
                        <a:stretch>
                          <a:fillRect/>
                        </a:stretch>
                      </pic:blipFill>
                      <pic:spPr>
                        <a:xfrm>
                          <a:off x="0" y="0"/>
                          <a:ext cx="1350000" cy="342000"/>
                        </a:xfrm>
                        <a:prstGeom prst="rect">
                          <a:avLst/>
                        </a:prstGeom>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3"/>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666843" cy="666843"/>
                        </a:xfrm>
                        <a:prstGeom prst="rect">
                          <a:avLst/>
                        </a:prstGeom>
                      </pic:spPr>
                    </pic:pic>
                  </a:graphicData>
                </a:graphic>
              </wp:inline>
            </w:drawing>
          </w:r>
        </w:p>
      </w:tc>
    </w:tr>
  </w:tbl>
  <w:p>
    <w:pPr>
      <w:pStyle w:val="Abstand4p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attachedTemplate r:id="rId1"/>
  <w:linkStyles/>
  <w:stylePaneFormatFilter w:val="1801" w:allStyles="1" w:alternateStyleNames="0" w:clearFormatting="1" w:customStyles="0" w:directFormattingOnNumbering="0" w:directFormattingOnParagraphs="0" w:directFormattingOnRuns="0" w:directFormattingOnTables="1" w:headingStyles="0" w:latentStyles="0" w:numberingStyles="0" w:stylesInUse="0" w:tableStyles="0" w:top3HeadingStyles="0" w:visibleStyles="0"/>
  <w:defaultTabStop w:val="686"/>
  <w:clickAndTypeStyle w:val="Absatz"/>
  <w:autoHyphenation/>
  <w:consecutiveHyphenLimit w:val="3"/>
  <w:hyphenationZone w:val="460"/>
  <w:doNotHyphenateCaps/>
  <w:evenAndOddHeaders/>
  <w:drawingGridHorizontalSpacing w:val="90"/>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docId w15:val="{F2A0DB89-B853-4BDE-B518-4E00728D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next w:val="Heading9"/>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next w:val="Heading9"/>
    <w:qFormat/>
    <w:pPr>
      <w:outlineLvl w:val="1"/>
    </w:pPr>
  </w:style>
  <w:style w:type="paragraph" w:styleId="Heading3">
    <w:name w:val="heading 3"/>
    <w:basedOn w:val="Heading1"/>
    <w:next w:val="Heading9"/>
    <w:qFormat/>
    <w:pPr>
      <w:outlineLvl w:val="2"/>
    </w:pPr>
  </w:style>
  <w:style w:type="paragraph" w:styleId="Heading4">
    <w:name w:val="heading 4"/>
    <w:basedOn w:val="Heading1"/>
    <w:next w:val="Heading9"/>
    <w:qFormat/>
    <w:pPr>
      <w:outlineLvl w:val="3"/>
    </w:pPr>
  </w:style>
  <w:style w:type="paragraph" w:styleId="Heading5">
    <w:name w:val="heading 5"/>
    <w:next w:val="Heading9"/>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next w:val="Heading9"/>
    <w:qFormat/>
    <w:pPr>
      <w:framePr w:wrap="around"/>
      <w:outlineLvl w:val="5"/>
    </w:pPr>
  </w:style>
  <w:style w:type="paragraph" w:styleId="Heading7">
    <w:name w:val="heading 7"/>
    <w:basedOn w:val="Heading5"/>
    <w:next w:val="Heading9"/>
    <w:qFormat/>
    <w:pPr>
      <w:framePr w:wrap="around"/>
      <w:outlineLvl w:val="6"/>
    </w:pPr>
  </w:style>
  <w:style w:type="paragraph" w:styleId="Heading8">
    <w:name w:val="heading 8"/>
    <w:basedOn w:val="Heading5"/>
    <w:next w:val="Heading9"/>
    <w:qFormat/>
    <w:pPr>
      <w:framePr w:wrap="around"/>
      <w:outlineLvl w:val="7"/>
    </w:pPr>
  </w:style>
  <w:style w:type="paragraph" w:styleId="Heading9">
    <w:name w:val="heading 9"/>
    <w:next w:val="Absatz"/>
    <w:link w:val="Titre9Car"/>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link w:val="NotedebasdepageCar"/>
    <w:pPr>
      <w:tabs>
        <w:tab w:val="left" w:pos="40"/>
      </w:tabs>
      <w:spacing w:line="160" w:lineRule="exact"/>
      <w:ind w:left="340" w:hanging="340"/>
    </w:pPr>
    <w:rPr>
      <w:sz w:val="16"/>
      <w:lang w:val="de-CH" w:eastAsia="de-DE"/>
    </w:rPr>
  </w:style>
  <w:style w:type="paragraph" w:customStyle="1" w:styleId="Absatz">
    <w:name w:val="Absatz"/>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table" w:styleId="TableGrid">
    <w:name w:val="Table Grid"/>
    <w:basedOn w:val="TableNormal"/>
    <w:pPr>
      <w:spacing w:line="200" w:lineRule="exact"/>
      <w:jc w:val="both"/>
    </w:pPr>
    <w:rPr>
      <w:sz w:val="18"/>
      <w:szCs w:val="18"/>
    </w:rPr>
    <w:tblPr>
      <w:tblCellMar>
        <w:left w:w="0" w:type="dxa"/>
        <w:right w:w="0" w:type="dxa"/>
      </w:tblCellMar>
    </w:tblPr>
    <w:trPr>
      <w:hidden/>
      <w:cantSplit/>
    </w:tr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outlineLvl w:val="2"/>
    </w:pPr>
    <w:rPr>
      <w:b/>
      <w:lang w:val="de-CH" w:eastAsia="de-DE"/>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next w:val="ErlassLinie"/>
    <w:pPr>
      <w:keepNext/>
      <w:keepLines/>
    </w:pPr>
    <w:rPr>
      <w:b/>
      <w:lang w:val="de-CH"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2240"/>
      </w:tabs>
      <w:spacing w:before="120"/>
      <w:jc w:val="left"/>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NotedebasdepageCar">
    <w:name w:val="Note de bas de page Car"/>
    <w:link w:val="FootnoteText"/>
    <w:rPr>
      <w:sz w:val="16"/>
      <w:lang w:val="de-CH" w:eastAsia="de-DE"/>
    </w:rPr>
  </w:style>
  <w:style w:type="character" w:customStyle="1" w:styleId="Titre9Car">
    <w:name w:val="Titre 9 Car"/>
    <w:link w:val="Heading9"/>
    <w:rPr>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footer" Target="footer2.xml" />
	<Relationship Id="rId11" Type="http://schemas.openxmlformats.org/officeDocument/2006/relationships/header" Target="header3.xml" />
	<Relationship Id="rId12" Type="http://schemas.openxmlformats.org/officeDocument/2006/relationships/footer" Target="footer3.xml" />
	<Relationship Id="rId13" Type="http://schemas.openxmlformats.org/officeDocument/2006/relationships/theme" Target="theme/theme1.xml" />
	<Relationship Id="rId14"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customXml" Target="../customXml/item1.xml" />
	<Relationship Id="rId7" Type="http://schemas.openxmlformats.org/officeDocument/2006/relationships/header" Target="header1.xml" />
	<Relationship Id="rId8" Type="http://schemas.openxmlformats.org/officeDocument/2006/relationships/header" Target="header2.xml" />
	<Relationship Id="rId9" Type="http://schemas.openxmlformats.org/officeDocument/2006/relationships/footer" Target="footer1.xml" />
</Relationships>
</file>

<file path=word/_rels/header3.xml.rels><?xml version="1.0" encoding="utf-8" standalone="yes"?>
<Relationships xmlns="http://schemas.openxmlformats.org/package/2006/relationships">
	<Relationship Id="rId1" Type="http://schemas.openxmlformats.org/officeDocument/2006/relationships/image" Target="media/image1.png" />
	<Relationship Id="rId2" Type="http://schemas.openxmlformats.org/officeDocument/2006/relationships/image" Target="media/image2.svg" />
	<Relationship Id="rId3" Type="http://schemas.openxmlformats.org/officeDocument/2006/relationships/image" Target="media/image3.emf" />
	<Relationship Id="rId4" Type="http://schemas.openxmlformats.org/officeDocument/2006/relationships/image" Target="media/image4.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847669\AppData\Roaming\Microsoft\Templates\AS-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08A-ECB8-4775-AD42-B2673BA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AS-Vorl.dotm</Template>
  <TotalTime>0</TotalTime>
  <Pages>2</Pages>
  <Words>281</Words>
  <Characters>1541</Characters>
  <Application>Microsoft Office Word</Application>
  <DocSecurity>0</DocSecurity>
  <Lines>40</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AS für Word 2021</vt:lpstr>
      <vt:lpstr>Dokumentvorlage AS für Word 2016</vt:lpstr>
      <vt:lpstr>Dokumentvorlage AS für Word 2007</vt:lpstr>
    </vt:vector>
  </TitlesOfParts>
  <Manager>Schweizerische Bundeskanzlei (BK)</Manager>
  <Company>Schweizerische Bundeskanzlei</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2023 2287</dc:title>
  <dc:subject>Gesetzgebungsprozess / Bundesratsgeschäfte</dc:subject>
  <dc:creator>Schweizerische Bundeskanzlei</dc:creator>
  <cp:keywords>Rechtstext Formatvorlage DfV</cp:keywords>
  <cp:lastModifiedBy>Publish service</cp:lastModifiedBy>
  <cp:revision>8</cp:revision>
  <cp:lastPrinted>2001-02-23T11:20:00Z</cp:lastPrinted>
  <dcterms:created xsi:type="dcterms:W3CDTF">2023-10-10T07:44:52Z</dcterms:created>
  <dcterms:modified xsi:type="dcterms:W3CDTF">2023-10-02T13:51:00Z</dcterms:modified>
  <cp:category>Rechtstexte,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ndK-D">
    <vt:lpwstr>Der Bundeskanzler: Walter Thurnherr</vt:lpwstr>
  </property>
  <property fmtid="{D5CDD505-2E9C-101B-9397-08002B2CF9AE}" pid="3" name="BundK-F">
    <vt:lpwstr>Le chancelier de la Confédération, Walter Thurnherr</vt:lpwstr>
  </property>
  <property fmtid="{D5CDD505-2E9C-101B-9397-08002B2CF9AE}" pid="4" name="BundK-I">
    <vt:lpwstr>Il cancelliere della Confederazione, Walter Thurnherr</vt:lpwstr>
  </property>
  <property fmtid="{D5CDD505-2E9C-101B-9397-08002B2CF9AE}" pid="5" name="BundP-D">
    <vt:lpwstr>Der Bundespräsident: Alain Berset</vt:lpwstr>
  </property>
  <property fmtid="{D5CDD505-2E9C-101B-9397-08002B2CF9AE}" pid="6" name="BundP-F">
    <vt:lpwstr>Le président de la Confédération, Alain Berset</vt:lpwstr>
  </property>
  <property fmtid="{D5CDD505-2E9C-101B-9397-08002B2CF9AE}" pid="7" name="BundP-I">
    <vt:lpwstr>Il presidente della Confederazione, Alain Berset</vt:lpwstr>
  </property>
  <property fmtid="{D5CDD505-2E9C-101B-9397-08002B2CF9AE}" pid="8" name="KavIntern">
    <vt:bool>true</vt:bool>
  </property>
  <property fmtid="{D5CDD505-2E9C-101B-9397-08002B2CF9AE}" pid="9" name="MesserliAktiv">
    <vt:bool>true</vt:bool>
  </property>
  <property fmtid="{D5CDD505-2E9C-101B-9397-08002B2CF9AE}" pid="10" name="MesserliCheck">
    <vt:i4>45198</vt:i4>
  </property>
  <property fmtid="{D5CDD505-2E9C-101B-9397-08002B2CF9AE}" pid="11" name="Originalvorlage">
    <vt:lpwstr>Source ls</vt:lpwstr>
  </property>
  <property fmtid="{D5CDD505-2E9C-101B-9397-08002B2CF9AE}" pid="12" name="WordInitAktiv">
    <vt:bool>false</vt:bool>
  </property>
</Properties>
</file>